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0A" w:rsidRPr="0085060A" w:rsidRDefault="0085060A" w:rsidP="0085060A">
      <w:pPr>
        <w:spacing w:after="19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85060A" w:rsidRPr="0085060A" w:rsidRDefault="0085060A" w:rsidP="0085060A">
      <w:pPr>
        <w:spacing w:after="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100003"/>
      <w:bookmarkEnd w:id="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ПРИКАЗ</w:t>
      </w:r>
    </w:p>
    <w:p w:rsidR="0085060A" w:rsidRPr="0085060A" w:rsidRDefault="0085060A" w:rsidP="0085060A">
      <w:pPr>
        <w:spacing w:after="19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от 7 апреля 2014 г. N 276</w:t>
      </w:r>
    </w:p>
    <w:p w:rsidR="0085060A" w:rsidRPr="0085060A" w:rsidRDefault="0085060A" w:rsidP="0085060A">
      <w:pPr>
        <w:spacing w:after="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ОБ УТВЕРЖДЕНИИ ПОРЯДКА</w:t>
      </w:r>
    </w:p>
    <w:p w:rsidR="0085060A" w:rsidRPr="0085060A" w:rsidRDefault="0085060A" w:rsidP="0085060A">
      <w:pPr>
        <w:spacing w:after="19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ПРОВЕДЕНИЯ АТТЕСТАЦИИ ПЕДАГОГИЧЕСКИХ РАБОТНИКОВ</w:t>
      </w:r>
    </w:p>
    <w:p w:rsidR="0085060A" w:rsidRPr="0085060A" w:rsidRDefault="0085060A" w:rsidP="0085060A">
      <w:pPr>
        <w:spacing w:after="19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ОРГАНИЗАЦИЙ, ОСУЩЕСТВЛЯЮЩИХ ОБРАЗОВАТЕЛЬНУЮ ДЕЯТЕЛЬНОСТЬ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5"/>
      <w:bookmarkEnd w:id="1"/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 </w:t>
      </w:r>
      <w:hyperlink r:id="rId4" w:anchor="100700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частью 4 статьи 49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2878, N 27, ст. 3462; N 30, ст. 4036; N 48, ст. 6165;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2014, N 6, ст. 562, ст. 566) и </w:t>
      </w:r>
      <w:hyperlink r:id="rId5" w:anchor="100048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подпунктом 5.2.28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N 6, ст. 582), приказываю:</w:t>
      </w:r>
      <w:proofErr w:type="gramEnd"/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6"/>
      <w:bookmarkEnd w:id="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по согласованию с Министерством труда и социальной защиты Российской Федерации прилагаемый </w:t>
      </w:r>
      <w:hyperlink r:id="rId6" w:anchor="100012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Порядок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проведения аттестации педагогических работников организаций, осуществляющих образовательную деятельность.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7"/>
      <w:bookmarkEnd w:id="3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2. Установить, что квалификационные категории, установленные педагогическим работникам государственных и муниципальных образовательных учреждений до утверждения </w:t>
      </w:r>
      <w:hyperlink r:id="rId7" w:anchor="100012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Порядка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, указанного в </w:t>
      </w:r>
      <w:hyperlink r:id="rId8" w:anchor="100006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пункте 1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приказа, сохраняются в течение срока, на который они были установлены.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008"/>
      <w:bookmarkEnd w:id="4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3. Признать утратившим силу приказ Министерства образования и науки Российской Федерации от 24 марта 2010 г. N 209 "О Порядке аттестации педагогических работников государственных и муниципальных образовательных учреждений" (зарегистрирован Министерством юстиции Российской Федерации 26 апреля 2010 г., регистрационный N 16999).</w:t>
      </w:r>
    </w:p>
    <w:p w:rsidR="0085060A" w:rsidRP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" w:name="100009"/>
      <w:bookmarkEnd w:id="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Министр</w:t>
      </w:r>
    </w:p>
    <w:p w:rsidR="0085060A" w:rsidRPr="0085060A" w:rsidRDefault="0085060A" w:rsidP="0085060A">
      <w:pPr>
        <w:spacing w:after="19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Д.В.ЛИВАНОВ</w:t>
      </w:r>
    </w:p>
    <w:p w:rsidR="0085060A" w:rsidRPr="0085060A" w:rsidRDefault="0085060A" w:rsidP="0085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60A" w:rsidRPr="0085060A" w:rsidRDefault="0085060A" w:rsidP="0085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60A" w:rsidRPr="0085060A" w:rsidRDefault="0085060A" w:rsidP="00850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85060A" w:rsidRP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Приложение</w:t>
      </w:r>
    </w:p>
    <w:p w:rsidR="0085060A" w:rsidRPr="0085060A" w:rsidRDefault="0085060A" w:rsidP="0085060A">
      <w:pPr>
        <w:spacing w:after="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" w:name="100011"/>
      <w:bookmarkEnd w:id="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Утвержден</w:t>
      </w:r>
    </w:p>
    <w:p w:rsidR="0085060A" w:rsidRPr="0085060A" w:rsidRDefault="0085060A" w:rsidP="0085060A">
      <w:pPr>
        <w:spacing w:after="19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приказом Министерства образования</w:t>
      </w:r>
    </w:p>
    <w:p w:rsidR="0085060A" w:rsidRPr="0085060A" w:rsidRDefault="0085060A" w:rsidP="0085060A">
      <w:pPr>
        <w:spacing w:after="19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и науки Российской Федерации</w:t>
      </w:r>
    </w:p>
    <w:p w:rsidR="0085060A" w:rsidRPr="0085060A" w:rsidRDefault="0085060A" w:rsidP="0085060A">
      <w:pPr>
        <w:spacing w:after="190" w:line="348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от 7 апреля 2014 г. N 276</w:t>
      </w:r>
    </w:p>
    <w:p w:rsidR="0085060A" w:rsidRPr="0085060A" w:rsidRDefault="0085060A" w:rsidP="0085060A">
      <w:pPr>
        <w:spacing w:after="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ПОРЯДОК</w:t>
      </w:r>
    </w:p>
    <w:p w:rsidR="0085060A" w:rsidRPr="0085060A" w:rsidRDefault="0085060A" w:rsidP="0085060A">
      <w:pPr>
        <w:spacing w:after="19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ПРОВЕДЕНИЯ АТТЕСТАЦИИ ПЕДАГОГИЧЕСКИХ РАБОТНИКОВ</w:t>
      </w:r>
    </w:p>
    <w:p w:rsidR="0085060A" w:rsidRPr="0085060A" w:rsidRDefault="0085060A" w:rsidP="0085060A">
      <w:pPr>
        <w:spacing w:after="19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ОРГАНИЗАЦИЙ, ОСУЩЕСТВЛЯЮЩИХ ОБРАЗОВАТЕЛЬНУЮ ДЕЯТЕЛЬНОСТЬ</w:t>
      </w:r>
    </w:p>
    <w:p w:rsidR="0085060A" w:rsidRPr="0085060A" w:rsidRDefault="0085060A" w:rsidP="0085060A">
      <w:pPr>
        <w:spacing w:after="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013"/>
      <w:bookmarkEnd w:id="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" w:name="100014"/>
      <w:bookmarkEnd w:id="8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Настоящий Порядок применяется к педагогическим работникам организаций, замещающим должности, поименованные в </w:t>
      </w:r>
      <w:hyperlink r:id="rId9" w:anchor="100024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подразделе 2 раздела I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16"/>
      <w:bookmarkEnd w:id="9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 &lt;1&gt;.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7"/>
      <w:bookmarkEnd w:id="10"/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8"/>
      <w:bookmarkEnd w:id="11"/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0" w:anchor="100697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Часть 1 статьи 49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9"/>
      <w:bookmarkEnd w:id="1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3. Основными задачами проведения аттестации являются: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20"/>
      <w:bookmarkEnd w:id="13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021"/>
      <w:bookmarkEnd w:id="14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определение необходимости повышения квалификации педагогических работников;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" w:name="100022"/>
      <w:bookmarkEnd w:id="1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023"/>
      <w:bookmarkEnd w:id="1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выявление перспектив использования потенциальных возможностей педагогических работников;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" w:name="100024"/>
      <w:bookmarkEnd w:id="1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025"/>
      <w:bookmarkEnd w:id="18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обеспечение </w:t>
      </w: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дифференциации размеров оплаты труда педагогических работников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" w:name="100026"/>
      <w:bookmarkEnd w:id="19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85060A" w:rsidRPr="0085060A" w:rsidRDefault="0085060A" w:rsidP="0085060A">
      <w:pPr>
        <w:spacing w:after="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27"/>
      <w:bookmarkEnd w:id="2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II. Аттестация педагогических работников в целях</w:t>
      </w:r>
    </w:p>
    <w:p w:rsidR="0085060A" w:rsidRPr="0085060A" w:rsidRDefault="0085060A" w:rsidP="0085060A">
      <w:pPr>
        <w:spacing w:after="19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подтверждения соответствия занимаемой должности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28"/>
      <w:bookmarkEnd w:id="21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 &lt;1&gt;.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9"/>
      <w:bookmarkEnd w:id="22"/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  <w:proofErr w:type="gramEnd"/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100030"/>
      <w:bookmarkEnd w:id="23"/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1" w:anchor="100698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Часть 2 статьи 49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" w:name="100031"/>
      <w:bookmarkEnd w:id="24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6.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32"/>
      <w:bookmarkEnd w:id="2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7.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100033"/>
      <w:bookmarkEnd w:id="2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8. Аттестация педагогических работников проводится в соответствии с распорядительным актом работодателя.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" w:name="100034"/>
      <w:bookmarkEnd w:id="2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9. 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035"/>
      <w:bookmarkEnd w:id="28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10.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" w:name="100036"/>
      <w:bookmarkEnd w:id="29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11. В представлении содержатся следующие сведения о педагогическом работнике: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а) фамилия, имя, отчество (при наличии);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38"/>
      <w:bookmarkEnd w:id="3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039"/>
      <w:bookmarkEnd w:id="31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2" w:name="100040"/>
      <w:bookmarkEnd w:id="3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г) уровень образования и (или) квалификации по специальности или направлению подготовки;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100041"/>
      <w:bookmarkEnd w:id="33"/>
      <w:proofErr w:type="spell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д</w:t>
      </w:r>
      <w:proofErr w:type="spell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100042"/>
      <w:bookmarkEnd w:id="34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5" w:name="100043"/>
      <w:bookmarkEnd w:id="3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6" w:name="100044"/>
      <w:bookmarkEnd w:id="3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12. Работодатель знакомит педагогического работника с представлением под роспись не </w:t>
      </w: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позднее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с даты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7" w:name="100045"/>
      <w:bookmarkEnd w:id="3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100046"/>
      <w:bookmarkEnd w:id="38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13. Аттестация проводится на заседании аттестационной комиссии организации с участием педагогического работника.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47"/>
      <w:bookmarkEnd w:id="39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48"/>
      <w:bookmarkEnd w:id="4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49"/>
      <w:bookmarkEnd w:id="41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2" w:name="100050"/>
      <w:bookmarkEnd w:id="4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14. 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100051"/>
      <w:bookmarkEnd w:id="43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4" w:name="100052"/>
      <w:bookmarkEnd w:id="44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100053"/>
      <w:bookmarkEnd w:id="4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6" w:name="100054"/>
      <w:bookmarkEnd w:id="4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100055"/>
      <w:bookmarkEnd w:id="4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8" w:name="100056"/>
      <w:bookmarkEnd w:id="48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17.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100057"/>
      <w:bookmarkEnd w:id="49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18.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0" w:name="100058"/>
      <w:bookmarkEnd w:id="5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1" w:name="100059"/>
      <w:bookmarkEnd w:id="51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20. </w:t>
      </w: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100060"/>
      <w:bookmarkEnd w:id="5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100061"/>
      <w:bookmarkEnd w:id="53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4" w:name="100062"/>
      <w:bookmarkEnd w:id="54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100063"/>
      <w:bookmarkEnd w:id="5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6" w:name="100064"/>
      <w:bookmarkEnd w:id="5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в) беременные женщины;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065"/>
      <w:bookmarkEnd w:id="5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8" w:name="100066"/>
      <w:bookmarkEnd w:id="58"/>
      <w:proofErr w:type="spell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д</w:t>
      </w:r>
      <w:proofErr w:type="spell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) лица, находящиеся в отпуске по уходу за ребенком до достижения им возраста трех лет;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067"/>
      <w:bookmarkEnd w:id="59"/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068"/>
      <w:bookmarkEnd w:id="6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Аттестация педагогических работников, предусмотренных </w:t>
      </w:r>
      <w:hyperlink r:id="rId12" w:anchor="100065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подпунктами "г"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3" w:anchor="100066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"</w:t>
        </w:r>
        <w:proofErr w:type="spellStart"/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д</w:t>
        </w:r>
        <w:proofErr w:type="spellEnd"/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"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пункта, возможна не ранее чем через два года после их выхода из указанных отпусков.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069"/>
      <w:bookmarkEnd w:id="61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Аттестация педагогических работников, предусмотренных </w:t>
      </w:r>
      <w:hyperlink r:id="rId14" w:anchor="100067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подпунктом "е"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пункта, возможна не ранее чем через год после их выхода на работу.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070"/>
      <w:bookmarkEnd w:id="6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23. </w:t>
      </w: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 </w:t>
      </w:r>
      <w:hyperlink r:id="rId15" w:anchor="100010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раздела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&lt;1&gt; и (или) профессиональными стандартами, но обладающих достаточным практическим опытом и компетентностью, выполняющих качественно и в полном объеме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возложенные на них должностные обязанности.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071"/>
      <w:bookmarkEnd w:id="63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072"/>
      <w:bookmarkEnd w:id="64"/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6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Приказ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Министерством юстиции Российской Федерации 6 октября 2010 г., регистрационный N 18638) с изменением, внесенным приказом Министерства здравоохранения и социального развития Российской Федерации от 31 мая 2011 г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. N 448н (зарегистрирован Министерством юстиции Российской Федерации 1 июля 2011 г., регистрационный N 21240).</w:t>
      </w:r>
    </w:p>
    <w:p w:rsidR="0085060A" w:rsidRPr="0085060A" w:rsidRDefault="0085060A" w:rsidP="0085060A">
      <w:pPr>
        <w:spacing w:after="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073"/>
      <w:bookmarkEnd w:id="6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III. Аттестация педагогических работников в целях</w:t>
      </w:r>
    </w:p>
    <w:p w:rsidR="0085060A" w:rsidRPr="0085060A" w:rsidRDefault="0085060A" w:rsidP="0085060A">
      <w:pPr>
        <w:spacing w:after="190" w:line="348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установления квалификационной категории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074"/>
      <w:bookmarkEnd w:id="6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075"/>
      <w:bookmarkEnd w:id="6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По результатам аттестации педагогическим работникам устанавливается первая или высшая квалификационная категория.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076"/>
      <w:bookmarkEnd w:id="68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Квалификационная категория устанавливается сроком на 5 лет. Срок действия квалификационной категории продлению не подлежит.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077"/>
      <w:bookmarkEnd w:id="69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25. </w:t>
      </w: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Аттестация педагогических работников организаций, находящихся в 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находящихся в ведении субъекта Российской Федерации, педагогических работников муниципальных и частных организаций проведение данной аттестации осуществляется аттестационными комиссиями, формируемыми уполномоченными органами государственной власти субъектов Российской Федерации (далее - аттестационные комиссии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) &lt;1&gt;.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078"/>
      <w:bookmarkEnd w:id="7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079"/>
      <w:bookmarkEnd w:id="71"/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&lt;1&gt; </w:t>
      </w:r>
      <w:hyperlink r:id="rId17" w:anchor="100699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Часть 3 статьи 49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23, ст. 2878; N 27, ст. 3462; N 30, ст. 4036; N 48, ст. 6165; 2014, N 6, ст. 562, ст. 566).</w:t>
      </w:r>
      <w:proofErr w:type="gramEnd"/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080"/>
      <w:bookmarkEnd w:id="7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26. При формировании аттестационных комиссий определяются их составы, регламент работы, а также условия привлечения специалистов для осуществления всестороннего анализа профессиональной деятельности педагогических работников.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081"/>
      <w:bookmarkEnd w:id="73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В состав аттестационных комиссий включается представитель соответствующего профессионального союза.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082"/>
      <w:bookmarkEnd w:id="74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27. Аттестация педагогических работников проводится на основании их заявлений,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83"/>
      <w:bookmarkEnd w:id="7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28. В заявлении о проведении аттестации педагогические работники указывают квалификационные категории и должности, по которым они желают пройти аттестацию.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84"/>
      <w:bookmarkEnd w:id="7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085"/>
      <w:bookmarkEnd w:id="7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30. Заявления о проведении аттестации в целях установления высшей квалификационной категории по должности, по которой аттестация будет проводиться впервые, подаются педагогическими работниками не ранее чем через два года после установления по этой должности первой квалификационной категории.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8" w:name="100086"/>
      <w:bookmarkEnd w:id="78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31.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100087"/>
      <w:bookmarkEnd w:id="79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32.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получения, в течение которого: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0" w:name="100088"/>
      <w:bookmarkEnd w:id="8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1" w:name="100089"/>
      <w:bookmarkEnd w:id="81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б) осуществляется письменное уведомление педагогических работников о сроке и месте проведения их аттестации.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100090"/>
      <w:bookmarkEnd w:id="8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33.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3" w:name="100091"/>
      <w:bookmarkEnd w:id="83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34. Заседание аттестационной комиссии считается правомочным, если на нем присутствуют не менее двух третей от общего числа ее членов.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4" w:name="100092"/>
      <w:bookmarkEnd w:id="84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5" w:name="100093"/>
      <w:bookmarkEnd w:id="8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36. Первая квалификационная категория педагогическим работникам устанавливается на основе: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6" w:name="100094"/>
      <w:bookmarkEnd w:id="8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7" w:name="100095"/>
      <w:bookmarkEnd w:id="8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 </w:t>
      </w:r>
      <w:hyperlink r:id="rId18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постановлением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Правительства Российской Федерации от 5 августа 2013 г. N 662 &lt;1&gt;;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8" w:name="100096"/>
      <w:bookmarkEnd w:id="88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100097"/>
      <w:bookmarkEnd w:id="89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19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Постановление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0" w:name="100098"/>
      <w:bookmarkEnd w:id="9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1" w:name="100099"/>
      <w:bookmarkEnd w:id="91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2" w:name="100100"/>
      <w:bookmarkEnd w:id="9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37. Высшая квалификационная категория педагогическим работникам устанавливается на основе: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3" w:name="100101"/>
      <w:bookmarkEnd w:id="93"/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  <w:proofErr w:type="gramEnd"/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4" w:name="100102"/>
      <w:bookmarkEnd w:id="94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 </w:t>
      </w:r>
      <w:hyperlink r:id="rId20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постановлением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Правительства Российской Федерации от 5 августа 2013 г. N 662 &lt;1&gt;;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--------------------------------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5" w:name="100104"/>
      <w:bookmarkEnd w:id="9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&lt;1&gt; </w:t>
      </w:r>
      <w:hyperlink r:id="rId21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Постановление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6" w:name="100105"/>
      <w:bookmarkEnd w:id="9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выявления и развития </w:t>
      </w: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способностей</w:t>
      </w:r>
      <w:proofErr w:type="gramEnd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7" w:name="100106"/>
      <w:bookmarkEnd w:id="9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8" w:name="100107"/>
      <w:bookmarkEnd w:id="98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9" w:name="100108"/>
      <w:bookmarkEnd w:id="99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38.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работы, предусмотренных </w:t>
      </w:r>
      <w:hyperlink r:id="rId22" w:anchor="100093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пунктами 36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23" w:anchor="100100" w:history="1">
        <w:r w:rsidRPr="0085060A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lang w:eastAsia="ru-RU"/>
          </w:rPr>
          <w:t>37</w:t>
        </w:r>
      </w:hyperlink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 настоящего Порядка, при условии, что их деятельность связана с соответствующими направлениями работы.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0" w:name="100109"/>
      <w:bookmarkEnd w:id="10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39. По результатам аттестации аттестационная комиссия принимает одно из следующих решений: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1" w:name="100110"/>
      <w:bookmarkEnd w:id="101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2" w:name="100111"/>
      <w:bookmarkEnd w:id="10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100112"/>
      <w:bookmarkEnd w:id="103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40.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равенстве голосов аттестационная комиссия принимает решение об установлении первой (высшей) квалификационной категории.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100113"/>
      <w:bookmarkEnd w:id="104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5" w:name="100114"/>
      <w:bookmarkEnd w:id="105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6" w:name="100115"/>
      <w:bookmarkEnd w:id="106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41. 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7" w:name="100116"/>
      <w:bookmarkEnd w:id="107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Решение аттестационной комиссии вступает в силу со дня его вынесения.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8" w:name="100117"/>
      <w:bookmarkEnd w:id="108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9" w:name="100118"/>
      <w:bookmarkEnd w:id="109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100119"/>
      <w:bookmarkEnd w:id="110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44. </w:t>
      </w:r>
      <w:proofErr w:type="gramStart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</w:t>
      </w:r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первой или высшей квалификационной категории со дня вынесения решения аттестационной комиссией, которые размещаются на официальных сайтах указанных органов в сети "Интернет".</w:t>
      </w:r>
      <w:proofErr w:type="gramEnd"/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1" w:name="100120"/>
      <w:bookmarkEnd w:id="111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2" w:name="100121"/>
      <w:bookmarkEnd w:id="112"/>
      <w:r w:rsidRPr="0085060A">
        <w:rPr>
          <w:rFonts w:ascii="inherit" w:eastAsia="Times New Roman" w:hAnsi="inherit" w:cs="Times New Roman"/>
          <w:sz w:val="24"/>
          <w:szCs w:val="24"/>
          <w:lang w:eastAsia="ru-RU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p w:rsidR="0085060A" w:rsidRP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50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P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Pr="0085060A" w:rsidRDefault="0085060A" w:rsidP="0085060A">
      <w:pPr>
        <w:spacing w:before="475" w:after="158" w:line="411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2"/>
          <w:szCs w:val="32"/>
          <w:lang w:eastAsia="ru-RU"/>
        </w:rPr>
      </w:pPr>
      <w:r w:rsidRPr="0085060A">
        <w:rPr>
          <w:rFonts w:ascii="Arial" w:eastAsia="Times New Roman" w:hAnsi="Arial" w:cs="Arial"/>
          <w:b/>
          <w:bCs/>
          <w:color w:val="005EA5"/>
          <w:sz w:val="32"/>
          <w:szCs w:val="32"/>
          <w:lang w:eastAsia="ru-RU"/>
        </w:rPr>
        <w:lastRenderedPageBreak/>
        <w:t xml:space="preserve">Судебная практика и законодательство — Приказ </w:t>
      </w:r>
      <w:proofErr w:type="spellStart"/>
      <w:r w:rsidRPr="0085060A">
        <w:rPr>
          <w:rFonts w:ascii="Arial" w:eastAsia="Times New Roman" w:hAnsi="Arial" w:cs="Arial"/>
          <w:b/>
          <w:bCs/>
          <w:color w:val="005EA5"/>
          <w:sz w:val="32"/>
          <w:szCs w:val="32"/>
          <w:lang w:eastAsia="ru-RU"/>
        </w:rPr>
        <w:t>Минобрнауки</w:t>
      </w:r>
      <w:proofErr w:type="spellEnd"/>
      <w:r w:rsidRPr="0085060A">
        <w:rPr>
          <w:rFonts w:ascii="Arial" w:eastAsia="Times New Roman" w:hAnsi="Arial" w:cs="Arial"/>
          <w:b/>
          <w:bCs/>
          <w:color w:val="005EA5"/>
          <w:sz w:val="32"/>
          <w:szCs w:val="32"/>
          <w:lang w:eastAsia="ru-RU"/>
        </w:rPr>
        <w:t xml:space="preserve"> России от 07.04.2014 N 276</w:t>
      </w:r>
      <w:proofErr w:type="gramStart"/>
      <w:r w:rsidRPr="0085060A">
        <w:rPr>
          <w:rFonts w:ascii="Arial" w:eastAsia="Times New Roman" w:hAnsi="Arial" w:cs="Arial"/>
          <w:b/>
          <w:bCs/>
          <w:color w:val="005EA5"/>
          <w:sz w:val="32"/>
          <w:szCs w:val="32"/>
          <w:lang w:eastAsia="ru-RU"/>
        </w:rPr>
        <w:t xml:space="preserve"> О</w:t>
      </w:r>
      <w:proofErr w:type="gramEnd"/>
      <w:r w:rsidRPr="0085060A">
        <w:rPr>
          <w:rFonts w:ascii="Arial" w:eastAsia="Times New Roman" w:hAnsi="Arial" w:cs="Arial"/>
          <w:b/>
          <w:bCs/>
          <w:color w:val="005EA5"/>
          <w:sz w:val="32"/>
          <w:szCs w:val="32"/>
          <w:lang w:eastAsia="ru-RU"/>
        </w:rPr>
        <w:t>б утверждении Порядка проведения аттестации педагогических работников организаций, осуществляющих образовательную деятельность</w:t>
      </w:r>
    </w:p>
    <w:p w:rsidR="0085060A" w:rsidRPr="0085060A" w:rsidRDefault="0085060A" w:rsidP="00850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60A" w:rsidRPr="0085060A" w:rsidRDefault="0085060A" w:rsidP="0085060A">
      <w:pPr>
        <w:spacing w:after="0" w:line="34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4" w:anchor="100103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"Ответы на актуальные вопросы о профессиональных стандартах" (приложение к письму Общероссийского Профсоюза образования от 10.03.2017 N 122)</w:t>
        </w:r>
      </w:hyperlink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3" w:name="100103"/>
      <w:bookmarkEnd w:id="113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аттестации педагогических работников необходимо по-прежнему руководствоваться </w:t>
      </w:r>
      <w:hyperlink r:id="rId25" w:anchor="100012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Порядком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07.04.2014 N 276 &lt;5&gt; и являющимся ведомственным нормативным правовым актом прямого действия. Как следует из </w:t>
      </w:r>
      <w:hyperlink r:id="rId26" w:anchor="100014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пункта 1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указанного Порядка, правила проведения аттестации определяются самим </w:t>
      </w:r>
      <w:hyperlink r:id="rId27" w:anchor="100012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Порядком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060A" w:rsidRPr="0085060A" w:rsidRDefault="0085060A" w:rsidP="00850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5060A" w:rsidRPr="0085060A" w:rsidRDefault="0085060A" w:rsidP="0085060A">
      <w:pPr>
        <w:spacing w:after="0" w:line="34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anchor="100010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от 11.08.2014 N 01-58-420/05-5589</w:t>
        </w:r>
        <w:proofErr w:type="gramStart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&lt;О</w:t>
        </w:r>
        <w:proofErr w:type="gramEnd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приеме на работу в субъектах Российской Федерации педагогических работников при отсутствии документов о необходимой квалификации&gt;</w:t>
        </w:r>
      </w:hyperlink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4" w:name="100010"/>
      <w:bookmarkEnd w:id="114"/>
      <w:proofErr w:type="gram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Аттестация педагогических работников организаций, осуществляющих образовательную деятельность,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 в порядке, утвержденном </w:t>
      </w:r>
      <w:hyperlink r:id="rId29" w:anchor="100012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приказом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7 апреля 2014 г. N 276.</w:t>
      </w:r>
      <w:proofErr w:type="gramEnd"/>
    </w:p>
    <w:p w:rsidR="0085060A" w:rsidRPr="0085060A" w:rsidRDefault="0085060A" w:rsidP="00850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5060A" w:rsidRPr="0085060A" w:rsidRDefault="0085060A" w:rsidP="0085060A">
      <w:pPr>
        <w:spacing w:after="0" w:line="34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anchor="100037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России N НТ-664/08, Общероссийского Профсоюза образования N 269 от 16.05.2016 "Рекомендации по сокращению и устранению избыточной отчетности учителей"</w:t>
        </w:r>
      </w:hyperlink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5" w:name="100037"/>
      <w:bookmarkEnd w:id="115"/>
      <w:proofErr w:type="gram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 исполнительной власти субъектов Российской Федерации, осуществляющим государственное управление в сфере образования, администрациям школ исключить запросы информации и документов от учителей в связи с прохождением ими аттестации, не предусмотренных </w:t>
      </w:r>
      <w:hyperlink r:id="rId31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приказом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(далее - приказ N 276).</w:t>
      </w:r>
      <w:proofErr w:type="gramEnd"/>
    </w:p>
    <w:p w:rsidR="0085060A" w:rsidRPr="0085060A" w:rsidRDefault="0085060A" w:rsidP="00850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</w:p>
    <w:p w:rsidR="0085060A" w:rsidRPr="0085060A" w:rsidRDefault="0085060A" w:rsidP="0085060A">
      <w:pPr>
        <w:spacing w:after="0" w:line="34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anchor="100367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"Методические рекомендации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(Версия 2.0)" (подготовлены Минтрудом России)</w:t>
        </w:r>
      </w:hyperlink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6" w:name="100367"/>
      <w:bookmarkEnd w:id="116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2.7. </w:t>
      </w:r>
      <w:hyperlink r:id="rId33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приказ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Министерства образования и науки Российской Федерации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деятельность";</w:t>
      </w:r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7" w:name="100368"/>
      <w:bookmarkEnd w:id="117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2.8. </w:t>
      </w:r>
      <w:hyperlink r:id="rId34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приказ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служащих" (раздел "Квалификационные характеристики должностей работников образования");</w:t>
      </w:r>
    </w:p>
    <w:p w:rsidR="0085060A" w:rsidRPr="0085060A" w:rsidRDefault="0085060A" w:rsidP="00850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5060A" w:rsidRPr="0085060A" w:rsidRDefault="0085060A" w:rsidP="0085060A">
      <w:pPr>
        <w:spacing w:after="0" w:line="34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5" w:anchor="100012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России от 10.08.2015 N 08-1240 "О квалификационных требованиях к педагогическим работникам организаций, реализующих программы дошкольного и общего образования"</w:t>
        </w:r>
      </w:hyperlink>
    </w:p>
    <w:bookmarkStart w:id="118" w:name="100012"/>
    <w:bookmarkEnd w:id="118"/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"https://legalacts.ru/doc/prikaz-minobrnauki-rossii-ot-07042014-n-276/" \l "100070" </w:instrText>
      </w: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85060A">
        <w:rPr>
          <w:rFonts w:ascii="Arial" w:eastAsia="Times New Roman" w:hAnsi="Arial" w:cs="Arial"/>
          <w:color w:val="005EA5"/>
          <w:sz w:val="24"/>
          <w:szCs w:val="24"/>
          <w:u w:val="single"/>
          <w:lang w:eastAsia="ru-RU"/>
        </w:rPr>
        <w:t>пунктом 23</w:t>
      </w: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приложения к приказу Министерства образования и науки Российской Федерации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 (далее - Порядок аттестации).</w:t>
      </w:r>
    </w:p>
    <w:p w:rsidR="0085060A" w:rsidRPr="0085060A" w:rsidRDefault="0085060A" w:rsidP="00850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5060A" w:rsidRPr="0085060A" w:rsidRDefault="0085060A" w:rsidP="0085060A">
      <w:pPr>
        <w:spacing w:after="0" w:line="34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6" w:anchor="100386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"Отраслевое соглашение по организациям, находящимся в ведении Министерства образования и науки Российской Федерации, на 2015 - 2017 годы" (утв. </w:t>
        </w:r>
        <w:proofErr w:type="spellStart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России, Профсоюзом работников народного образования и науки РФ 22.12.2014)</w:t>
        </w:r>
      </w:hyperlink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9" w:name="100386"/>
      <w:bookmarkEnd w:id="119"/>
      <w:proofErr w:type="gram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региональных и территориальных соглашениях, в коллективных договорах рекомендуется закреплять положения об оплате труда в течение срока действия квалификационной категории, установленной педагогическим работникам в соответствии с </w:t>
      </w:r>
      <w:hyperlink r:id="rId37" w:anchor="100012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Порядком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проведения аттестации педагогических работников организаций, осуществляющих образовательную деятельность, утвержденным приказом </w:t>
      </w:r>
      <w:proofErr w:type="spell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7 апреля 2014 г. N 276 (зарегистрирован Минюстом России 23 мая 2014 г., регистрационный N 32408), при выполнении ими педагогической</w:t>
      </w:r>
      <w:proofErr w:type="gramEnd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в следующих случаях:</w:t>
      </w:r>
    </w:p>
    <w:p w:rsidR="0085060A" w:rsidRPr="0085060A" w:rsidRDefault="0085060A" w:rsidP="00850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5060A" w:rsidRPr="0085060A" w:rsidRDefault="0085060A" w:rsidP="0085060A">
      <w:pPr>
        <w:spacing w:after="0" w:line="34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8" w:anchor="100004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России N 08-1933, Профсоюза работников народного образования и науки РФ N 505 от 03.12.2014</w:t>
        </w:r>
        <w:proofErr w:type="gramStart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&lt;О</w:t>
        </w:r>
        <w:proofErr w:type="gramEnd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направлении Разъяснений по применению Порядка проведения аттестации педагогических работников </w:t>
        </w:r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lastRenderedPageBreak/>
          <w:t xml:space="preserve">организаций, осуществляющих образовательную деятельность, утв. Приказом </w:t>
        </w:r>
        <w:proofErr w:type="spellStart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России от 07.04.2014 N 276&gt;</w:t>
        </w:r>
      </w:hyperlink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0" w:name="100004"/>
      <w:bookmarkEnd w:id="120"/>
      <w:proofErr w:type="gram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Департаментом государственной политики в сфере общего образования </w:t>
      </w:r>
      <w:proofErr w:type="spell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и Общероссийским Профсоюзом образования подготовлены </w:t>
      </w:r>
      <w:hyperlink r:id="rId39" w:anchor="100010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разъяснения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применению </w:t>
      </w:r>
      <w:hyperlink r:id="rId40" w:anchor="100012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Порядка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 (зарегистрирован Минюстом России 23 мая 2014 г., регистрационный N 32408) (далее соответственно - Разъяснения, Порядок аттестации).</w:t>
      </w:r>
      <w:proofErr w:type="gramEnd"/>
    </w:p>
    <w:p w:rsidR="0085060A" w:rsidRPr="0085060A" w:rsidRDefault="0085060A" w:rsidP="008506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85060A" w:rsidRPr="0085060A" w:rsidRDefault="0085060A" w:rsidP="0085060A">
      <w:pPr>
        <w:spacing w:after="0" w:line="34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1" w:anchor="100015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&lt;Письмо&gt; </w:t>
        </w:r>
        <w:proofErr w:type="spellStart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 xml:space="preserve"> России от 11.09.2014 N АК-2924/06 "О реализации примерных программ профессионального обучения водителей транспортных средств" (вместе с "Разъяснениями о требованиях к педагогическим работникам, реализующим программы профессионального обучения водителей транспортных средств, и открытости деятельности организаций, которые осуществляют обучение водителей транспортных средств")</w:t>
        </w:r>
      </w:hyperlink>
    </w:p>
    <w:p w:rsidR="0085060A" w:rsidRPr="0085060A" w:rsidRDefault="0085060A" w:rsidP="0085060A">
      <w:pPr>
        <w:spacing w:after="0" w:line="348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1" w:name="100015"/>
      <w:bookmarkEnd w:id="121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 </w:t>
      </w:r>
      <w:hyperlink r:id="rId42" w:anchor="100070" w:history="1">
        <w:r w:rsidRPr="0085060A">
          <w:rPr>
            <w:rFonts w:ascii="Arial" w:eastAsia="Times New Roman" w:hAnsi="Arial" w:cs="Arial"/>
            <w:color w:val="005EA5"/>
            <w:sz w:val="24"/>
            <w:szCs w:val="24"/>
            <w:u w:val="single"/>
            <w:lang w:eastAsia="ru-RU"/>
          </w:rPr>
          <w:t>пункту 23</w:t>
        </w:r>
      </w:hyperlink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Порядка проведения аттестации педагогических работников организаций, осуществляющих образовательную деятельность утвержденного приказом </w:t>
      </w:r>
      <w:proofErr w:type="spell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7 апреля 2014 г. N 276 аттестационным комиссиям организаций вменено право </w:t>
      </w:r>
      <w:proofErr w:type="gramStart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давать</w:t>
      </w:r>
      <w:proofErr w:type="gramEnd"/>
      <w:r w:rsidRPr="008506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работы.</w:t>
      </w:r>
    </w:p>
    <w:p w:rsidR="001B0605" w:rsidRDefault="001B0605"/>
    <w:sectPr w:rsidR="001B0605" w:rsidSect="001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060A"/>
    <w:rsid w:val="001B0605"/>
    <w:rsid w:val="001D3E28"/>
    <w:rsid w:val="0048475B"/>
    <w:rsid w:val="007C6B4B"/>
    <w:rsid w:val="0085060A"/>
    <w:rsid w:val="00B22A8B"/>
    <w:rsid w:val="00BA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paragraph" w:styleId="2">
    <w:name w:val="heading 2"/>
    <w:basedOn w:val="a"/>
    <w:link w:val="20"/>
    <w:uiPriority w:val="9"/>
    <w:qFormat/>
    <w:rsid w:val="00850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6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8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0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060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8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060A"/>
    <w:rPr>
      <w:color w:val="0000FF"/>
      <w:u w:val="single"/>
    </w:rPr>
  </w:style>
  <w:style w:type="paragraph" w:customStyle="1" w:styleId="pright">
    <w:name w:val="pright"/>
    <w:basedOn w:val="a"/>
    <w:rsid w:val="008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ot-07042014-n-276/" TargetMode="External"/><Relationship Id="rId13" Type="http://schemas.openxmlformats.org/officeDocument/2006/relationships/hyperlink" Target="https://legalacts.ru/doc/prikaz-minobrnauki-rossii-ot-07042014-n-276/" TargetMode="External"/><Relationship Id="rId18" Type="http://schemas.openxmlformats.org/officeDocument/2006/relationships/hyperlink" Target="https://legalacts.ru/doc/postanovlenie-pravitelstva-rf-ot-05082013-n-662/" TargetMode="External"/><Relationship Id="rId26" Type="http://schemas.openxmlformats.org/officeDocument/2006/relationships/hyperlink" Target="https://legalacts.ru/doc/prikaz-minobrnauki-rossii-ot-07042014-n-276/" TargetMode="External"/><Relationship Id="rId39" Type="http://schemas.openxmlformats.org/officeDocument/2006/relationships/hyperlink" Target="https://legalacts.ru/doc/pismo-minobrnauki-rossii-n-08-1933-profsoiuza-rabotnik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egalacts.ru/doc/postanovlenie-pravitelstva-rf-ot-05082013-n-662/" TargetMode="External"/><Relationship Id="rId34" Type="http://schemas.openxmlformats.org/officeDocument/2006/relationships/hyperlink" Target="https://legalacts.ru/doc/prikaz-minzdravsotsrazvitija-rf-ot-26082010-n-761n/" TargetMode="External"/><Relationship Id="rId42" Type="http://schemas.openxmlformats.org/officeDocument/2006/relationships/hyperlink" Target="https://legalacts.ru/doc/prikaz-minobrnauki-rossii-ot-07042014-n-276/" TargetMode="External"/><Relationship Id="rId7" Type="http://schemas.openxmlformats.org/officeDocument/2006/relationships/hyperlink" Target="https://legalacts.ru/doc/prikaz-minobrnauki-rossii-ot-07042014-n-276/" TargetMode="External"/><Relationship Id="rId12" Type="http://schemas.openxmlformats.org/officeDocument/2006/relationships/hyperlink" Target="https://legalacts.ru/doc/prikaz-minobrnauki-rossii-ot-07042014-n-276/" TargetMode="External"/><Relationship Id="rId17" Type="http://schemas.openxmlformats.org/officeDocument/2006/relationships/hyperlink" Target="https://legalacts.ru/doc/273_FZ-ob-obrazovanii/glava-5/statja-49/" TargetMode="External"/><Relationship Id="rId25" Type="http://schemas.openxmlformats.org/officeDocument/2006/relationships/hyperlink" Target="https://legalacts.ru/doc/prikaz-minobrnauki-rossii-ot-07042014-n-276/" TargetMode="External"/><Relationship Id="rId33" Type="http://schemas.openxmlformats.org/officeDocument/2006/relationships/hyperlink" Target="https://legalacts.ru/doc/prikaz-minobrnauki-rossii-ot-07042014-n-276/" TargetMode="External"/><Relationship Id="rId38" Type="http://schemas.openxmlformats.org/officeDocument/2006/relationships/hyperlink" Target="https://legalacts.ru/doc/pismo-minobrnauki-rossii-n-08-1933-profsoiuza-rabotnikov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prikaz-minzdravsotsrazvitija-rf-ot-26082010-n-761n/" TargetMode="External"/><Relationship Id="rId20" Type="http://schemas.openxmlformats.org/officeDocument/2006/relationships/hyperlink" Target="https://legalacts.ru/doc/postanovlenie-pravitelstva-rf-ot-05082013-n-662/" TargetMode="External"/><Relationship Id="rId29" Type="http://schemas.openxmlformats.org/officeDocument/2006/relationships/hyperlink" Target="https://legalacts.ru/doc/prikaz-minobrnauki-rossii-ot-07042014-n-276/" TargetMode="External"/><Relationship Id="rId41" Type="http://schemas.openxmlformats.org/officeDocument/2006/relationships/hyperlink" Target="https://legalacts.ru/doc/pismo-minobrnauki-rossii-ot-11092014-n-ak-292406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obrnauki-rossii-ot-07042014-n-276/" TargetMode="External"/><Relationship Id="rId11" Type="http://schemas.openxmlformats.org/officeDocument/2006/relationships/hyperlink" Target="https://legalacts.ru/doc/273_FZ-ob-obrazovanii/glava-5/statja-49/" TargetMode="External"/><Relationship Id="rId24" Type="http://schemas.openxmlformats.org/officeDocument/2006/relationships/hyperlink" Target="https://legalacts.ru/doc/otvety-na-aktualnye-voprosy-o-professionalnykh-standartakh-prilozhenie-k/" TargetMode="External"/><Relationship Id="rId32" Type="http://schemas.openxmlformats.org/officeDocument/2006/relationships/hyperlink" Target="https://legalacts.ru/doc/metodicheskie-rekomendatsii-po-ustanovleniiu-detalizirovannykh-kvalifikatsionnykh-trebovanii/" TargetMode="External"/><Relationship Id="rId37" Type="http://schemas.openxmlformats.org/officeDocument/2006/relationships/hyperlink" Target="https://legalacts.ru/doc/prikaz-minobrnauki-rossii-ot-07042014-n-276/" TargetMode="External"/><Relationship Id="rId40" Type="http://schemas.openxmlformats.org/officeDocument/2006/relationships/hyperlink" Target="https://legalacts.ru/doc/prikaz-minobrnauki-rossii-ot-07042014-n-276/" TargetMode="External"/><Relationship Id="rId5" Type="http://schemas.openxmlformats.org/officeDocument/2006/relationships/hyperlink" Target="https://legalacts.ru/doc/postanovlenie-pravitelstva-rf-ot-03062013-n-466/" TargetMode="External"/><Relationship Id="rId15" Type="http://schemas.openxmlformats.org/officeDocument/2006/relationships/hyperlink" Target="https://legalacts.ru/doc/prikaz-minzdravsotsrazvitija-rf-ot-26082010-n-761n/" TargetMode="External"/><Relationship Id="rId23" Type="http://schemas.openxmlformats.org/officeDocument/2006/relationships/hyperlink" Target="https://legalacts.ru/doc/prikaz-minobrnauki-rossii-ot-07042014-n-276/" TargetMode="External"/><Relationship Id="rId28" Type="http://schemas.openxmlformats.org/officeDocument/2006/relationships/hyperlink" Target="https://legalacts.ru/doc/pismo-rosobrnadzora-ot-11082014-n-01-58-42005-5589-o/" TargetMode="External"/><Relationship Id="rId36" Type="http://schemas.openxmlformats.org/officeDocument/2006/relationships/hyperlink" Target="https://legalacts.ru/doc/otraslevoe-soglashenie-po-organizatsijam-nakhodjashchimsja-v-vedenii-ministerstva-obrazovanija/" TargetMode="External"/><Relationship Id="rId10" Type="http://schemas.openxmlformats.org/officeDocument/2006/relationships/hyperlink" Target="https://legalacts.ru/doc/273_FZ-ob-obrazovanii/glava-5/statja-49/" TargetMode="External"/><Relationship Id="rId19" Type="http://schemas.openxmlformats.org/officeDocument/2006/relationships/hyperlink" Target="https://legalacts.ru/doc/postanovlenie-pravitelstva-rf-ot-05082013-n-662/" TargetMode="External"/><Relationship Id="rId31" Type="http://schemas.openxmlformats.org/officeDocument/2006/relationships/hyperlink" Target="https://legalacts.ru/doc/prikaz-minobrnauki-rossii-ot-07042014-n-276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legalacts.ru/doc/273_FZ-ob-obrazovanii/glava-5/statja-49/" TargetMode="External"/><Relationship Id="rId9" Type="http://schemas.openxmlformats.org/officeDocument/2006/relationships/hyperlink" Target="https://legalacts.ru/doc/postanovlenie-pravitelstva-rf-ot-08082013-n-678/" TargetMode="External"/><Relationship Id="rId14" Type="http://schemas.openxmlformats.org/officeDocument/2006/relationships/hyperlink" Target="https://legalacts.ru/doc/prikaz-minobrnauki-rossii-ot-07042014-n-276/" TargetMode="External"/><Relationship Id="rId22" Type="http://schemas.openxmlformats.org/officeDocument/2006/relationships/hyperlink" Target="https://legalacts.ru/doc/prikaz-minobrnauki-rossii-ot-07042014-n-276/" TargetMode="External"/><Relationship Id="rId27" Type="http://schemas.openxmlformats.org/officeDocument/2006/relationships/hyperlink" Target="https://legalacts.ru/doc/prikaz-minobrnauki-rossii-ot-07042014-n-276/" TargetMode="External"/><Relationship Id="rId30" Type="http://schemas.openxmlformats.org/officeDocument/2006/relationships/hyperlink" Target="https://legalacts.ru/doc/pismo-minobrnauki-rossii-n-nt-66408-obshcherossiiskogo-profsoiuza/" TargetMode="External"/><Relationship Id="rId35" Type="http://schemas.openxmlformats.org/officeDocument/2006/relationships/hyperlink" Target="https://legalacts.ru/doc/pismo-minobrnauki-rossii-ot-10082015-n-08-1240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4922</Words>
  <Characters>28059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32916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2020-04-28T02:05:00Z</cp:lastPrinted>
  <dcterms:created xsi:type="dcterms:W3CDTF">2020-04-28T02:02:00Z</dcterms:created>
  <dcterms:modified xsi:type="dcterms:W3CDTF">2020-04-28T02:21:00Z</dcterms:modified>
</cp:coreProperties>
</file>