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A" w:rsidRPr="004E285A" w:rsidRDefault="004E285A" w:rsidP="004E285A">
      <w:pPr>
        <w:shd w:val="clear" w:color="auto" w:fill="FFFFFF"/>
        <w:spacing w:after="15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</w:pPr>
      <w:r w:rsidRPr="004E285A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Изменения, касающиеся Порядка приёма на </w:t>
      </w:r>
      <w:proofErr w:type="gramStart"/>
      <w:r w:rsidRPr="004E285A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обучение</w:t>
      </w:r>
      <w:proofErr w:type="gramEnd"/>
      <w:r w:rsidRPr="004E285A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 xml:space="preserve"> по дошкольным образовательным программам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hyperlink r:id="rId5" w:tgtFrame="_blank" w:history="1"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 xml:space="preserve"> России от 21.01.2019 № 33</w:t>
        </w:r>
      </w:hyperlink>
      <w:r w:rsidRPr="004E285A">
        <w:rPr>
          <w:rFonts w:ascii="Trebuchet MS" w:eastAsia="Times New Roman" w:hAnsi="Trebuchet MS" w:cs="Times New Roman"/>
          <w:color w:val="555555"/>
          <w:lang w:eastAsia="ru-RU"/>
        </w:rPr>
        <w:t> «О внесении изменений в Порядок приема на 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обучение по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> образовательным программам дошкольного образования, утвержденный приказом Министерства образования и науки Российской Федерации от 8 апреля 2014 г. № 293» (Зарегистрировано в Минюсте России 13.02.2019 № 53769) внесены изменения в Порядок приёма на обучение по программам дошкольного образования. </w:t>
      </w:r>
      <w:r w:rsidRPr="004E285A">
        <w:rPr>
          <w:rFonts w:ascii="inherit" w:eastAsia="Times New Roman" w:hAnsi="inherit" w:cs="Times New Roman"/>
          <w:i/>
          <w:iCs/>
          <w:color w:val="555555"/>
          <w:bdr w:val="none" w:sz="0" w:space="0" w:color="auto" w:frame="1"/>
          <w:lang w:eastAsia="ru-RU"/>
        </w:rPr>
        <w:t>Изменения вступили в силу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 </w:t>
      </w: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25 февраля 2019 года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В чём суть изменений?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Первое изменение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 касается формы заявления о приёме в образовательную организацию. В пункте 9 </w:t>
      </w:r>
      <w:hyperlink r:id="rId6" w:tgtFrame="_blank" w:history="1"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 xml:space="preserve">Приказа </w:t>
        </w:r>
        <w:proofErr w:type="spellStart"/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 xml:space="preserve"> России от 08.04.2014 № 293</w:t>
        </w:r>
      </w:hyperlink>
      <w:r w:rsidRPr="004E285A">
        <w:rPr>
          <w:rFonts w:ascii="Trebuchet MS" w:eastAsia="Times New Roman" w:hAnsi="Trebuchet MS" w:cs="Times New Roman"/>
          <w:color w:val="555555"/>
          <w:lang w:eastAsia="ru-RU"/>
        </w:rPr>
        <w:t> (</w:t>
      </w: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ред. от 21.01.2019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) «Об утверждении Порядка приема на 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обучение по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> образовательным программам дошкольного образования» появился дополнительный подпункт (сделано выделение):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«9. 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Прием в образовательную организацию осуществляется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 Российской Федерации в соответствии со статьей 10 Федерального закона от 25 июля 2002 г. № 115-ФЗ „О правовом положении иностранных граждан в Российской Федерации“ (Собрание законодательства Российской Федерации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2002, № 30, ст. 3032).</w:t>
      </w:r>
      <w:proofErr w:type="gramEnd"/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В заявлении родителями (законными представителями) ребенка указываются следующие сведения: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а) фамилия, имя, отчество (последнее — при наличии) ребенка;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б) дата и место рождения ребенка;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в) фамилия, имя, отчество (последнее — при наличии) родителей (законных представителей) ребенка;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г) адрес места жительства ребенка, его родителей (законных представителей);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д) контактные телефоны родителей (законных представителей) ребенка;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е)</w:t>
      </w: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 о выборе языка образования, родного языка из числа языков народов Российской Федерации, 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в том числе</w:t>
      </w: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 русского языка как родного языка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Примерная форма заявления размещается образовательной организацией на информационном стенде и на официальном сайте образовательной организации в сети Интернет.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Прием детей, впервые поступающих в образовательную организацию, осуществляется на основании медицинского заключения».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Таким образом, начиная с 25 февраля 2019 года, приём на 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обучение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 по дошкольным образовательным программам необходимо осуществлять с учётом новых требований к содержанию заявления. Убедитесь, что на официальном сайте образовательной организации у Вас уже размещена новая форма заявления.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b/>
          <w:bCs/>
          <w:color w:val="555555"/>
          <w:bdr w:val="none" w:sz="0" w:space="0" w:color="auto" w:frame="1"/>
          <w:lang w:eastAsia="ru-RU"/>
        </w:rPr>
        <w:t>Второе изменение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 касается пункта 17 </w:t>
      </w:r>
      <w:hyperlink r:id="rId7" w:tgtFrame="_blank" w:history="1">
        <w:r w:rsidRPr="004E285A">
          <w:rPr>
            <w:rFonts w:ascii="Trebuchet MS" w:eastAsia="Times New Roman" w:hAnsi="Trebuchet MS" w:cs="Times New Roman"/>
            <w:color w:val="0069A4"/>
            <w:u w:val="single"/>
            <w:bdr w:val="none" w:sz="0" w:space="0" w:color="auto" w:frame="1"/>
            <w:lang w:eastAsia="ru-RU"/>
          </w:rPr>
          <w:t>Приказа № 293</w:t>
        </w:r>
      </w:hyperlink>
      <w:r w:rsidRPr="004E285A">
        <w:rPr>
          <w:rFonts w:ascii="Trebuchet MS" w:eastAsia="Times New Roman" w:hAnsi="Trebuchet MS" w:cs="Times New Roman"/>
          <w:color w:val="555555"/>
          <w:lang w:eastAsia="ru-RU"/>
        </w:rPr>
        <w:t>. В новой редакции он содержит следующие требования к Порядку приёма: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«17. Руководитель образовательной организации издает распорядительный акт о зачислении ребенка в образовательную организацию (далее — распорядительный акт) в течение трех рабочих дней после заключения договора. Распорядительный а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кт в тр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>ехдневный срок после издания размещается на информационном стенде образовательной организации. 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 в соответствии с пунктом 8 настоящего Порядка».</w:t>
      </w:r>
    </w:p>
    <w:p w:rsidR="004E285A" w:rsidRPr="004E285A" w:rsidRDefault="004E285A" w:rsidP="004E285A">
      <w:pPr>
        <w:shd w:val="clear" w:color="auto" w:fill="F1F1F1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4E285A">
        <w:rPr>
          <w:rFonts w:ascii="inherit" w:eastAsia="Times New Roman" w:hAnsi="inherit" w:cs="Times New Roman"/>
          <w:color w:val="555555"/>
          <w:lang w:eastAsia="ru-RU"/>
        </w:rPr>
        <w:lastRenderedPageBreak/>
        <w:t>Таким образом, с момента вступления изменений более не требуется размещать на официальном сайте приказы о зачислении детей на </w:t>
      </w:r>
      <w:proofErr w:type="gramStart"/>
      <w:r w:rsidRPr="004E285A">
        <w:rPr>
          <w:rFonts w:ascii="inherit" w:eastAsia="Times New Roman" w:hAnsi="inherit" w:cs="Times New Roman"/>
          <w:color w:val="555555"/>
          <w:lang w:eastAsia="ru-RU"/>
        </w:rPr>
        <w:t>обучение</w:t>
      </w:r>
      <w:proofErr w:type="gramEnd"/>
      <w:r w:rsidRPr="004E285A">
        <w:rPr>
          <w:rFonts w:ascii="inherit" w:eastAsia="Times New Roman" w:hAnsi="inherit" w:cs="Times New Roman"/>
          <w:color w:val="555555"/>
          <w:lang w:eastAsia="ru-RU"/>
        </w:rPr>
        <w:t xml:space="preserve"> по дошкольным образовательным программам.</w:t>
      </w:r>
    </w:p>
    <w:p w:rsidR="004E285A" w:rsidRPr="004E285A" w:rsidRDefault="004E285A" w:rsidP="004E285A">
      <w:pPr>
        <w:shd w:val="clear" w:color="auto" w:fill="F1F1F1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4E285A">
        <w:rPr>
          <w:rFonts w:ascii="inherit" w:eastAsia="Times New Roman" w:hAnsi="inherit" w:cs="Times New Roman"/>
          <w:color w:val="555555"/>
          <w:lang w:eastAsia="ru-RU"/>
        </w:rPr>
        <w:t>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К сожалению, но законодатель не указал в своём нормативно-правовом акте, что же относится к реквизитам документа. А что же относится к реквизитам документа? Для ответа на вопрос обратимся к "ГОСТ 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 xml:space="preserve">(утв. Приказом </w:t>
      </w:r>
      <w:proofErr w:type="spell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Росстандарта</w:t>
      </w:r>
      <w:proofErr w:type="spell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 от 08.12.2016 N 2004-ст) (раздел 4), а также «ГОСТ 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 7.0.8–2013. Национальный стандарт Российской Федерации. Система стандартов по информации, библиотечному и издательскому делу. Делопроизводство и архивное дело. Термины и определения» (утв. Приказом </w:t>
      </w:r>
      <w:proofErr w:type="spell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Росстандарта</w:t>
      </w:r>
      <w:proofErr w:type="spell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 от 17.10.2013 № 1185-ст). В документах дано определение, что реквизит документа — элемент оформления документа.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Официальный перечень реквизитов документа (перечень реквизитов одинаков в двух указанных ГОСТах):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01 —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02 — эмблема;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03 — товарный знак (знак обслуживания);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04 — код формы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05 — наименование организации — автора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06 — наименование структурного подразделения — автора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07 — наименование должности лица — автора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08 — справочные данные об организации;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09 — наименование вида документа;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10 — дата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11 — регистрационный номер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12 — ссылка на регистрационный номер и дату поступившего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13 — место составления (издания)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14 — гриф ограничения доступа к документу;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15 — адресат;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16 — гриф утверждения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17 — заголовок к тексту;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18 — текст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19 — отметка о приложении;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20 — гриф согласования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21 — виза;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22 — подпись;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23 — отметка об электронной подписи;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24 — печать;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25 — отметка об исполнителе;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26 — отметка о 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заверении копии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>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27 — отметка о поступлении документа;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28 — резолюция;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29 — отметка о контроле;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30 — отметка о направлении документа в дело.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Поскольку законодатель не установил перечень требуемых реквизитов, то рекомендуем воспользоваться нормой, которая зафиксирована в пункте 3 Приказа № 293, в котором сказано, что «Правила приема в конкретную образовательную организацию устанавливаются в части, не урегулированной законодательством об образовании, образовательной организацией самостоятельно».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Считаем целесообразным из всего официального перечня реквизитов документа использовать реквизиты 09, 10, 11, т. е. наименование вида документа (приказ), дата 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lastRenderedPageBreak/>
        <w:t>документа, регистрационный номер документа. Наименование вида документа — это не его название (краткое содержание)!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Пример (таблица 1) выполнения новых требований пункта 17 приказа № 293 — ведение на официальном сайте некоего реестра (сводной таблицы), в котором указывается необходимая информация:</w:t>
      </w:r>
    </w:p>
    <w:p w:rsidR="004E285A" w:rsidRPr="004E285A" w:rsidRDefault="004E285A" w:rsidP="004E285A">
      <w:pPr>
        <w:shd w:val="clear" w:color="auto" w:fill="FFFFFF"/>
        <w:jc w:val="right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Таблица 1</w:t>
      </w:r>
    </w:p>
    <w:tbl>
      <w:tblPr>
        <w:tblW w:w="11655" w:type="dxa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271"/>
        <w:gridCol w:w="4418"/>
      </w:tblGrid>
      <w:tr w:rsidR="004E285A" w:rsidRPr="004E285A" w:rsidTr="004E285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rebuchet MS" w:eastAsia="Times New Roman" w:hAnsi="Trebuchet MS" w:cs="Times New Roman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Реквизиты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rebuchet MS" w:eastAsia="Times New Roman" w:hAnsi="Trebuchet MS" w:cs="Times New Roman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rebuchet MS" w:eastAsia="Times New Roman" w:hAnsi="Trebuchet MS" w:cs="Times New Roman"/>
                <w:b/>
                <w:bCs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Число детей, зачисленных в группу</w:t>
            </w:r>
          </w:p>
        </w:tc>
      </w:tr>
      <w:tr w:rsidR="004E285A" w:rsidRPr="004E285A" w:rsidTr="004E285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  <w:tr w:rsidR="004E285A" w:rsidRPr="004E285A" w:rsidTr="004E285A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4E285A" w:rsidRPr="004E285A" w:rsidRDefault="004E285A" w:rsidP="004E285A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4E285A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 </w:t>
            </w:r>
          </w:p>
        </w:tc>
      </w:tr>
    </w:tbl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Обращаем внимание, что начиная с 25 февраля 2019 года размещение на официальном сайте приказов о зачислении в дошкольную организацию будет незаконным и расцениваться надзорными органами как нарушение Порядка приёма на </w:t>
      </w:r>
      <w:proofErr w:type="gramStart"/>
      <w:r w:rsidRPr="004E285A">
        <w:rPr>
          <w:rFonts w:ascii="Trebuchet MS" w:eastAsia="Times New Roman" w:hAnsi="Trebuchet MS" w:cs="Times New Roman"/>
          <w:color w:val="555555"/>
          <w:lang w:eastAsia="ru-RU"/>
        </w:rPr>
        <w:t>обучение</w:t>
      </w:r>
      <w:proofErr w:type="gramEnd"/>
      <w:r w:rsidRPr="004E285A">
        <w:rPr>
          <w:rFonts w:ascii="Trebuchet MS" w:eastAsia="Times New Roman" w:hAnsi="Trebuchet MS" w:cs="Times New Roman"/>
          <w:color w:val="555555"/>
          <w:lang w:eastAsia="ru-RU"/>
        </w:rPr>
        <w:t xml:space="preserve"> по дошкольным образовательным программам.</w:t>
      </w:r>
    </w:p>
    <w:p w:rsidR="004E285A" w:rsidRPr="004E285A" w:rsidRDefault="004E285A" w:rsidP="004E285A">
      <w:pPr>
        <w:shd w:val="clear" w:color="auto" w:fill="FFFFFF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4E285A">
        <w:rPr>
          <w:rFonts w:ascii="Trebuchet MS" w:eastAsia="Times New Roman" w:hAnsi="Trebuchet MS" w:cs="Times New Roman"/>
          <w:noProof/>
          <w:color w:val="555555"/>
          <w:lang w:eastAsia="ru-RU"/>
        </w:rPr>
        <w:drawing>
          <wp:inline distT="0" distB="0" distL="0" distR="0" wp14:anchorId="7A6CDEE8" wp14:editId="3DB05594">
            <wp:extent cx="1466850" cy="1905000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t>Важно! Изменения в Порядок вступили в силу 25 февраля 2019 года, следовательно, к ранее размещённой информации применяется ранее действующий Порядок. Законодатель не устанавливал требования к срокам хранения (размещения) приказов на сайте (как это требовалось ранее). Это должно быть отрегулировано Вашим локальным актом. Если у Вас были приняты какие-то сроки по архивным срокам, то по их истечению приказы Вы удаляете; не устанавливали сроки — удалите приказы! Внесённые изменения позволяют избежать ситуации нарушений Федерального закона от 27.07.2006 № 152-ФЗ «О персональных данных», когда ранее на практике возникала ситуация незаконного распространения посредством официального сайта образовательной организации персональных данных несовершеннолетних.</w:t>
      </w:r>
      <w:r w:rsidRPr="004E285A">
        <w:rPr>
          <w:rFonts w:ascii="Trebuchet MS" w:eastAsia="Times New Roman" w:hAnsi="Trebuchet MS" w:cs="Times New Roman"/>
          <w:color w:val="555555"/>
          <w:lang w:eastAsia="ru-RU"/>
        </w:rPr>
        <w:br/>
        <w:t>К исполнению. Настоятельно рекомендуем все изменения отразить в локальном акте, регулирующем Правила приёма в образовательную организацию. Порядок внесения изменений в локальные акты организации отражён в её Уставе.</w:t>
      </w:r>
    </w:p>
    <w:p w:rsidR="00F120C6" w:rsidRDefault="00F120C6">
      <w:bookmarkStart w:id="0" w:name="_GoBack"/>
      <w:bookmarkEnd w:id="0"/>
    </w:p>
    <w:sectPr w:rsidR="00F1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72"/>
    <w:rsid w:val="004E285A"/>
    <w:rsid w:val="00DD2472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face.ru/uploads/region/consultation/consulting_docs/p_minobr_293_red2019.pdf?15509412823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face.ru/uploads/region/consultation/consulting_docs/p_minobr_293_red2019.pdf?1550941210541" TargetMode="External"/><Relationship Id="rId5" Type="http://schemas.openxmlformats.org/officeDocument/2006/relationships/hyperlink" Target="https://eduface.ru/uploads/region/consultation/consulting_docs/p_minprosvet_33.pdf?1550941164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3</cp:revision>
  <dcterms:created xsi:type="dcterms:W3CDTF">2020-02-18T06:57:00Z</dcterms:created>
  <dcterms:modified xsi:type="dcterms:W3CDTF">2020-02-18T06:57:00Z</dcterms:modified>
</cp:coreProperties>
</file>