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C" w:rsidRPr="00FB6A8C" w:rsidRDefault="00FB6A8C" w:rsidP="00FB6A8C">
      <w:pPr>
        <w:spacing w:after="235" w:line="407" w:lineRule="atLeast"/>
        <w:jc w:val="center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A62236"/>
          <w:sz w:val="48"/>
          <w:szCs w:val="48"/>
          <w:lang w:eastAsia="ru-RU"/>
        </w:rPr>
        <w:t>Профессиональный стандарт педагога-воспитателя дошкольного образования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 Новый стандарт дошкольного образования предъявляет требования к содержанию образования, к его результатам, а также к условиям реализации образовательного процесса. В плане внедрения ФГОС </w:t>
      </w:r>
      <w:proofErr w:type="gram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ДО</w:t>
      </w:r>
      <w:proofErr w:type="gram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особое</w:t>
      </w:r>
      <w:proofErr w:type="gram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внимание уделено кадровому обеспечению и подготовке педагогов дошкольного образования. Основные требования к педагогам определены в тексте Профессионального стандарта педагога. 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 Основная функция современного детского сада любого вида – целенаправленная социализация личности ребенка, то есть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</w:t>
      </w:r>
    </w:p>
    <w:p w:rsidR="00FB6A8C" w:rsidRPr="00FB6A8C" w:rsidRDefault="00FB6A8C" w:rsidP="00FB6A8C">
      <w:pPr>
        <w:spacing w:after="360" w:line="704" w:lineRule="atLeast"/>
        <w:jc w:val="both"/>
        <w:outlineLvl w:val="1"/>
        <w:rPr>
          <w:rFonts w:ascii="PT Sans" w:eastAsia="Times New Roman" w:hAnsi="PT Sans" w:cs="Times New Roman"/>
          <w:color w:val="222222"/>
          <w:spacing w:val="-14"/>
          <w:sz w:val="25"/>
          <w:szCs w:val="25"/>
          <w:lang w:eastAsia="ru-RU"/>
        </w:rPr>
      </w:pPr>
      <w:r w:rsidRPr="00FB6A8C">
        <w:rPr>
          <w:rFonts w:ascii="PT Sans" w:eastAsia="Times New Roman" w:hAnsi="PT Sans" w:cs="Times New Roman"/>
          <w:color w:val="003366"/>
          <w:spacing w:val="-14"/>
          <w:sz w:val="36"/>
          <w:szCs w:val="36"/>
          <w:lang w:eastAsia="ru-RU"/>
        </w:rPr>
        <w:t xml:space="preserve">Связь между требованиями к воспитателю ДОУ по ФГОС и </w:t>
      </w:r>
      <w:proofErr w:type="spellStart"/>
      <w:r w:rsidRPr="00FB6A8C">
        <w:rPr>
          <w:rFonts w:ascii="PT Sans" w:eastAsia="Times New Roman" w:hAnsi="PT Sans" w:cs="Times New Roman"/>
          <w:color w:val="003366"/>
          <w:spacing w:val="-14"/>
          <w:sz w:val="36"/>
          <w:szCs w:val="36"/>
          <w:lang w:eastAsia="ru-RU"/>
        </w:rPr>
        <w:t>профстандарту</w:t>
      </w:r>
      <w:proofErr w:type="spellEnd"/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 лет, когда наступает время школ, гимназий и т. д.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003366"/>
          <w:sz w:val="28"/>
          <w:szCs w:val="28"/>
          <w:lang w:eastAsia="ru-RU"/>
        </w:rPr>
        <w:lastRenderedPageBreak/>
        <w:t xml:space="preserve">К </w:t>
      </w:r>
      <w:proofErr w:type="spellStart"/>
      <w:r w:rsidRPr="00FB6A8C">
        <w:rPr>
          <w:rFonts w:ascii="PT Sans" w:eastAsia="Times New Roman" w:hAnsi="PT Sans" w:cs="Times New Roman"/>
          <w:color w:val="003366"/>
          <w:sz w:val="28"/>
          <w:szCs w:val="28"/>
          <w:lang w:eastAsia="ru-RU"/>
        </w:rPr>
        <w:t>педработникам</w:t>
      </w:r>
      <w:proofErr w:type="spellEnd"/>
      <w:r w:rsidRPr="00FB6A8C">
        <w:rPr>
          <w:rFonts w:ascii="PT Sans" w:eastAsia="Times New Roman" w:hAnsi="PT Sans" w:cs="Times New Roman"/>
          <w:color w:val="003366"/>
          <w:sz w:val="28"/>
          <w:szCs w:val="28"/>
          <w:lang w:eastAsia="ru-RU"/>
        </w:rPr>
        <w:t xml:space="preserve"> ДОУ (воспитателям, педагогам и т. д.) сейчас применяется 2 вида стандартов:</w:t>
      </w:r>
    </w:p>
    <w:p w:rsidR="00FB6A8C" w:rsidRPr="00FB6A8C" w:rsidRDefault="00FB6A8C" w:rsidP="00FB6A8C">
      <w:pPr>
        <w:numPr>
          <w:ilvl w:val="0"/>
          <w:numId w:val="1"/>
        </w:numPr>
        <w:spacing w:after="219" w:line="282" w:lineRule="atLeast"/>
        <w:ind w:left="0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ФГОС, </w:t>
      </w:r>
      <w:proofErr w:type="gram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утвержденный</w:t>
      </w:r>
      <w:proofErr w:type="gram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 РФ;</w:t>
      </w:r>
    </w:p>
    <w:p w:rsidR="00FB6A8C" w:rsidRPr="00FB6A8C" w:rsidRDefault="00FB6A8C" w:rsidP="00FB6A8C">
      <w:pPr>
        <w:numPr>
          <w:ilvl w:val="0"/>
          <w:numId w:val="1"/>
        </w:numPr>
        <w:spacing w:after="219" w:line="282" w:lineRule="atLeast"/>
        <w:ind w:left="0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утвержденный</w:t>
      </w:r>
      <w:proofErr w:type="gram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Минтруда РФ.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 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в отношении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педработников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вступает в силу лишь с 2017 года.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 Тем не </w:t>
      </w:r>
      <w:proofErr w:type="gram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менее</w:t>
      </w:r>
      <w:proofErr w:type="gram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и ФГОС, и профессиональный стандарт воспитателя ДОУ между собой тесно связаны. Дело в том, что с 2017 года, когда вступят в силу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профстандарты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для педагогических работников, ФГОС должны будут разрабатываться с учетом заложенных в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профстандарте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требований.</w:t>
      </w:r>
    </w:p>
    <w:p w:rsidR="00FB6A8C" w:rsidRPr="00FB6A8C" w:rsidRDefault="00FB6A8C" w:rsidP="00FB6A8C">
      <w:pPr>
        <w:spacing w:after="360" w:line="704" w:lineRule="atLeast"/>
        <w:jc w:val="both"/>
        <w:outlineLvl w:val="1"/>
        <w:rPr>
          <w:rFonts w:ascii="PT Sans" w:eastAsia="Times New Roman" w:hAnsi="PT Sans" w:cs="Times New Roman"/>
          <w:color w:val="222222"/>
          <w:spacing w:val="-14"/>
          <w:sz w:val="25"/>
          <w:szCs w:val="25"/>
          <w:lang w:eastAsia="ru-RU"/>
        </w:rPr>
      </w:pPr>
      <w:r w:rsidRPr="00FB6A8C">
        <w:rPr>
          <w:rFonts w:ascii="PT Sans" w:eastAsia="Times New Roman" w:hAnsi="PT Sans" w:cs="Times New Roman"/>
          <w:color w:val="003366"/>
          <w:spacing w:val="-14"/>
          <w:sz w:val="36"/>
          <w:szCs w:val="36"/>
          <w:lang w:eastAsia="ru-RU"/>
        </w:rPr>
        <w:t xml:space="preserve">Что включает в себя </w:t>
      </w:r>
      <w:proofErr w:type="spellStart"/>
      <w:r w:rsidRPr="00FB6A8C">
        <w:rPr>
          <w:rFonts w:ascii="PT Sans" w:eastAsia="Times New Roman" w:hAnsi="PT Sans" w:cs="Times New Roman"/>
          <w:color w:val="003366"/>
          <w:spacing w:val="-14"/>
          <w:sz w:val="36"/>
          <w:szCs w:val="36"/>
          <w:lang w:eastAsia="ru-RU"/>
        </w:rPr>
        <w:t>профстандарт</w:t>
      </w:r>
      <w:proofErr w:type="spellEnd"/>
      <w:r w:rsidRPr="00FB6A8C">
        <w:rPr>
          <w:rFonts w:ascii="PT Sans" w:eastAsia="Times New Roman" w:hAnsi="PT Sans" w:cs="Times New Roman"/>
          <w:color w:val="003366"/>
          <w:spacing w:val="-14"/>
          <w:sz w:val="36"/>
          <w:szCs w:val="36"/>
          <w:lang w:eastAsia="ru-RU"/>
        </w:rPr>
        <w:t xml:space="preserve"> воспитателя детского сада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proofErr w:type="spellStart"/>
      <w:r w:rsidRPr="00FB6A8C">
        <w:rPr>
          <w:rFonts w:ascii="PT Sans" w:eastAsia="Times New Roman" w:hAnsi="PT Sans" w:cs="Times New Roman"/>
          <w:color w:val="003366"/>
          <w:sz w:val="28"/>
          <w:szCs w:val="28"/>
          <w:lang w:eastAsia="ru-RU"/>
        </w:rPr>
        <w:t>Профстандарт</w:t>
      </w:r>
      <w:proofErr w:type="spellEnd"/>
      <w:r w:rsidRPr="00FB6A8C">
        <w:rPr>
          <w:rFonts w:ascii="PT Sans" w:eastAsia="Times New Roman" w:hAnsi="PT Sans" w:cs="Times New Roman"/>
          <w:color w:val="003366"/>
          <w:sz w:val="28"/>
          <w:szCs w:val="28"/>
          <w:lang w:eastAsia="ru-RU"/>
        </w:rPr>
        <w:t xml:space="preserve"> воспитателя в детском саду и других ДОУ включает в себя следующие структурные части:</w:t>
      </w:r>
    </w:p>
    <w:p w:rsidR="00FB6A8C" w:rsidRPr="00FB6A8C" w:rsidRDefault="00FB6A8C" w:rsidP="00FB6A8C">
      <w:pPr>
        <w:numPr>
          <w:ilvl w:val="0"/>
          <w:numId w:val="2"/>
        </w:numPr>
        <w:spacing w:after="157" w:line="240" w:lineRule="auto"/>
        <w:ind w:left="0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b/>
          <w:bCs/>
          <w:color w:val="003366"/>
          <w:sz w:val="28"/>
          <w:lang w:eastAsia="ru-RU"/>
        </w:rPr>
        <w:t>Общие сведения о стандарте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 В этом разделе определяется, к какому конкретно виду деятельности относится 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педагога дошкольного образования, какие коды ОКЗ и ОКВЭД должны применяться при учете этого вида деятельности. Здесь нужно отметить, что по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профстандарту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понятие «педагог» шире, чем «воспитатель». К педагогам относятся как воспитатели, так и учителя в школе и других учреждениях общего образования. Разделение происходит на уровне кодов ОКЗ (к воспитателям относится код 3320) и ОКВЭД (80.10.1 — услуги дошкольного образования).</w:t>
      </w:r>
    </w:p>
    <w:p w:rsidR="00FB6A8C" w:rsidRPr="00FB6A8C" w:rsidRDefault="00FB6A8C" w:rsidP="00FB6A8C">
      <w:pPr>
        <w:numPr>
          <w:ilvl w:val="0"/>
          <w:numId w:val="3"/>
        </w:numPr>
        <w:spacing w:after="157" w:line="240" w:lineRule="auto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b/>
          <w:bCs/>
          <w:color w:val="003366"/>
          <w:sz w:val="28"/>
          <w:lang w:eastAsia="ru-RU"/>
        </w:rPr>
        <w:lastRenderedPageBreak/>
        <w:t>Функциональная карта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 Здесь описываются функции, которые в своей работе должен осуществлять педагог. Применительно к профессиональному стандарту воспитателя ДОУ главными по отношению к детям будут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функции</w:t>
      </w:r>
      <w:proofErr w:type="gram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:о</w:t>
      </w:r>
      <w:proofErr w:type="gram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бучения;воспитания;развития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.</w:t>
      </w:r>
    </w:p>
    <w:p w:rsidR="00FB6A8C" w:rsidRPr="00FB6A8C" w:rsidRDefault="00FB6A8C" w:rsidP="00FB6A8C">
      <w:pPr>
        <w:numPr>
          <w:ilvl w:val="0"/>
          <w:numId w:val="4"/>
        </w:numPr>
        <w:spacing w:after="157" w:line="240" w:lineRule="auto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b/>
          <w:bCs/>
          <w:color w:val="003366"/>
          <w:sz w:val="28"/>
          <w:lang w:eastAsia="ru-RU"/>
        </w:rPr>
        <w:t>Характеристика функций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 В этой части 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профстандарта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педагога ДОУ функции, упомянутые в функциональной карте, подробно характеризуются. Кроме того, здесь устанавливаются официальные названия для должностей («воспитатель», «педагог» и т. д.), требования к образованию и другие квалификационные условия. Надо отметить, что здесь используются и данные единого квалификационного справочника, утвержденного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Минздравсоцразвития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 РФ в 2010 году.</w:t>
      </w:r>
    </w:p>
    <w:p w:rsidR="00FB6A8C" w:rsidRPr="00FB6A8C" w:rsidRDefault="00FB6A8C" w:rsidP="00FB6A8C">
      <w:pPr>
        <w:numPr>
          <w:ilvl w:val="0"/>
          <w:numId w:val="5"/>
        </w:numPr>
        <w:spacing w:after="157" w:line="240" w:lineRule="auto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b/>
          <w:bCs/>
          <w:color w:val="003366"/>
          <w:sz w:val="28"/>
          <w:lang w:eastAsia="ru-RU"/>
        </w:rPr>
        <w:t xml:space="preserve">Сведения о том, какие организации разработали </w:t>
      </w:r>
      <w:proofErr w:type="spellStart"/>
      <w:r w:rsidRPr="00FB6A8C">
        <w:rPr>
          <w:rFonts w:ascii="PT Sans" w:eastAsia="Times New Roman" w:hAnsi="PT Sans" w:cs="Times New Roman"/>
          <w:b/>
          <w:bCs/>
          <w:color w:val="003366"/>
          <w:sz w:val="28"/>
          <w:lang w:eastAsia="ru-RU"/>
        </w:rPr>
        <w:t>профстандарт</w:t>
      </w:r>
      <w:proofErr w:type="spellEnd"/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 Упоминание разработчиков 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профстандарта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выносятся в отдельный раздел. Так, профессиональный стандарт педагога ДОУ по ФГОС был разработан МГППУ при участии ЦО № 109 г. Москвы.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 </w:t>
      </w:r>
      <w:proofErr w:type="spellStart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Профстандарт</w:t>
      </w:r>
      <w:proofErr w:type="spellEnd"/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 xml:space="preserve"> для педагога ДОУ, подлежащий введению в 2017 году,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b/>
          <w:bCs/>
          <w:i/>
          <w:iCs/>
          <w:color w:val="222222"/>
          <w:sz w:val="28"/>
          <w:lang w:eastAsia="ru-RU"/>
        </w:rPr>
        <w:t>ПРОФЕССИОНАЛЬНЫЙ СТАНДАРТ (выдержка).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b/>
          <w:bCs/>
          <w:color w:val="222222"/>
          <w:sz w:val="28"/>
          <w:lang w:eastAsia="ru-RU"/>
        </w:rPr>
        <w:t>ПРОФЕССИОНАЛЬНЫЙ СТАНДАРТ</w:t>
      </w:r>
    </w:p>
    <w:p w:rsidR="00FB6A8C" w:rsidRPr="00FB6A8C" w:rsidRDefault="00FB6A8C" w:rsidP="00FB6A8C">
      <w:pPr>
        <w:spacing w:after="235" w:line="407" w:lineRule="atLeast"/>
        <w:jc w:val="both"/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</w:pPr>
      <w:r w:rsidRPr="00FB6A8C">
        <w:rPr>
          <w:rFonts w:ascii="PT Sans" w:eastAsia="Times New Roman" w:hAnsi="PT Sans" w:cs="Times New Roman"/>
          <w:color w:val="222222"/>
          <w:sz w:val="28"/>
          <w:szCs w:val="28"/>
          <w:lang w:eastAsia="ru-RU"/>
        </w:rPr>
        <w:t>3.2.1. Трудовая функция</w:t>
      </w:r>
    </w:p>
    <w:tbl>
      <w:tblPr>
        <w:tblW w:w="129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5095"/>
        <w:gridCol w:w="957"/>
        <w:gridCol w:w="1395"/>
        <w:gridCol w:w="2691"/>
        <w:gridCol w:w="917"/>
      </w:tblGrid>
      <w:tr w:rsidR="00FB6A8C" w:rsidRPr="00FB6A8C" w:rsidTr="00FB6A8C">
        <w:tc>
          <w:tcPr>
            <w:tcW w:w="1858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5095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57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95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2691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17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B6A8C" w:rsidRPr="00FB6A8C" w:rsidRDefault="00FB6A8C" w:rsidP="00FB6A8C">
      <w:pPr>
        <w:spacing w:after="0" w:line="240" w:lineRule="auto"/>
        <w:rPr>
          <w:rFonts w:ascii="PT Sans" w:eastAsia="Times New Roman" w:hAnsi="PT Sans" w:cs="Times New Roman"/>
          <w:vanish/>
          <w:color w:val="222222"/>
          <w:sz w:val="28"/>
          <w:szCs w:val="28"/>
          <w:lang w:eastAsia="ru-RU"/>
        </w:rPr>
      </w:pP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318"/>
        <w:gridCol w:w="667"/>
        <w:gridCol w:w="2551"/>
        <w:gridCol w:w="1418"/>
        <w:gridCol w:w="4961"/>
      </w:tblGrid>
      <w:tr w:rsidR="00FB6A8C" w:rsidRPr="00FB6A8C" w:rsidTr="00FB6A8C">
        <w:tc>
          <w:tcPr>
            <w:tcW w:w="2000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18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67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8C" w:rsidRPr="00FB6A8C" w:rsidTr="00FB6A8C">
        <w:tc>
          <w:tcPr>
            <w:tcW w:w="6536" w:type="dxa"/>
            <w:gridSpan w:val="4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4961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B6A8C" w:rsidRPr="00FB6A8C" w:rsidRDefault="00FB6A8C" w:rsidP="00FB6A8C">
      <w:pPr>
        <w:spacing w:after="0" w:line="240" w:lineRule="auto"/>
        <w:rPr>
          <w:rFonts w:ascii="PT Sans" w:eastAsia="Times New Roman" w:hAnsi="PT Sans" w:cs="Times New Roman"/>
          <w:vanish/>
          <w:color w:val="222222"/>
          <w:sz w:val="28"/>
          <w:szCs w:val="28"/>
          <w:lang w:eastAsia="ru-RU"/>
        </w:rPr>
      </w:pP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10986"/>
      </w:tblGrid>
      <w:tr w:rsidR="00FB6A8C" w:rsidRPr="00FB6A8C" w:rsidTr="00FB6A8C">
        <w:tc>
          <w:tcPr>
            <w:tcW w:w="1929" w:type="dxa"/>
            <w:vMerge w:val="restart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</w:t>
            </w: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образовательными программами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B6A8C" w:rsidRPr="00FB6A8C" w:rsidTr="00FB6A8C">
        <w:trPr>
          <w:trHeight w:val="407"/>
        </w:trPr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B6A8C" w:rsidRPr="00FB6A8C" w:rsidTr="00FB6A8C">
        <w:tc>
          <w:tcPr>
            <w:tcW w:w="1929" w:type="dxa"/>
            <w:vMerge w:val="restart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виды деятельности, осуществляемые в раннем и дошкольном возрасте: предметная, </w:t>
            </w: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spellEnd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необходимыми и достаточными для планирования, реализации и </w:t>
            </w: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образовательной работы с детьми раннего и дошкольного возраста</w:t>
            </w:r>
            <w:proofErr w:type="gramEnd"/>
          </w:p>
        </w:tc>
      </w:tr>
      <w:tr w:rsidR="00FB6A8C" w:rsidRPr="00FB6A8C" w:rsidTr="00FB6A8C">
        <w:tc>
          <w:tcPr>
            <w:tcW w:w="1929" w:type="dxa"/>
            <w:vMerge w:val="restart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B6A8C" w:rsidRPr="00FB6A8C" w:rsidTr="00FB6A8C">
        <w:tc>
          <w:tcPr>
            <w:tcW w:w="1929" w:type="dxa"/>
            <w:vMerge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vAlign w:val="center"/>
            <w:hideMark/>
          </w:tcPr>
          <w:p w:rsidR="00FB6A8C" w:rsidRPr="00FB6A8C" w:rsidRDefault="00FB6A8C" w:rsidP="00F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FB6A8C" w:rsidRPr="00FB6A8C" w:rsidTr="00FB6A8C">
        <w:tc>
          <w:tcPr>
            <w:tcW w:w="1929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86" w:type="dxa"/>
            <w:tcBorders>
              <w:top w:val="single" w:sz="6" w:space="0" w:color="029ADB"/>
              <w:left w:val="single" w:sz="6" w:space="0" w:color="029ADB"/>
              <w:bottom w:val="single" w:sz="6" w:space="0" w:color="029ADB"/>
              <w:right w:val="single" w:sz="6" w:space="0" w:color="029ADB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FB6A8C" w:rsidRPr="00FB6A8C" w:rsidRDefault="00FB6A8C" w:rsidP="00FB6A8C">
            <w:pPr>
              <w:spacing w:after="6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B0605" w:rsidRDefault="001B0605" w:rsidP="00FB6A8C"/>
    <w:sectPr w:rsidR="001B0605" w:rsidSect="00FB6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E21"/>
    <w:multiLevelType w:val="multilevel"/>
    <w:tmpl w:val="0C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387D"/>
    <w:multiLevelType w:val="multilevel"/>
    <w:tmpl w:val="BE868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4879"/>
    <w:multiLevelType w:val="multilevel"/>
    <w:tmpl w:val="2D7C5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17187"/>
    <w:multiLevelType w:val="multilevel"/>
    <w:tmpl w:val="FBB0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704F1"/>
    <w:multiLevelType w:val="multilevel"/>
    <w:tmpl w:val="99E21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8C"/>
    <w:rsid w:val="001415C0"/>
    <w:rsid w:val="001B0605"/>
    <w:rsid w:val="001D3E28"/>
    <w:rsid w:val="0048475B"/>
    <w:rsid w:val="00B22A8B"/>
    <w:rsid w:val="00BA3ED9"/>
    <w:rsid w:val="00F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paragraph" w:styleId="2">
    <w:name w:val="heading 2"/>
    <w:basedOn w:val="a"/>
    <w:link w:val="20"/>
    <w:uiPriority w:val="9"/>
    <w:qFormat/>
    <w:rsid w:val="00FB6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A8C"/>
    <w:rPr>
      <w:b/>
      <w:bCs/>
    </w:rPr>
  </w:style>
  <w:style w:type="character" w:styleId="a5">
    <w:name w:val="Emphasis"/>
    <w:basedOn w:val="a0"/>
    <w:uiPriority w:val="20"/>
    <w:qFormat/>
    <w:rsid w:val="00FB6A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1405</Words>
  <Characters>8012</Characters>
  <Application>Microsoft Office Word</Application>
  <DocSecurity>0</DocSecurity>
  <Lines>66</Lines>
  <Paragraphs>18</Paragraphs>
  <ScaleCrop>false</ScaleCrop>
  <Company>Win-Torrent Yagd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2019-10-29T00:17:00Z</dcterms:created>
  <dcterms:modified xsi:type="dcterms:W3CDTF">2019-10-29T00:22:00Z</dcterms:modified>
</cp:coreProperties>
</file>